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4A0" w:firstRow="1" w:lastRow="0" w:firstColumn="1" w:lastColumn="0" w:noHBand="0" w:noVBand="1"/>
      </w:tblPr>
      <w:tblGrid>
        <w:gridCol w:w="5760"/>
        <w:gridCol w:w="3600"/>
      </w:tblGrid>
      <w:tr w:rsidR="005B4EA5" w14:paraId="797FB1D3" w14:textId="77777777" w:rsidTr="005B4EA5">
        <w:trPr>
          <w:cantSplit/>
        </w:trPr>
        <w:tc>
          <w:tcPr>
            <w:tcW w:w="5760" w:type="dxa"/>
          </w:tcPr>
          <w:p w14:paraId="71A2F366" w14:textId="77777777" w:rsidR="005B4EA5" w:rsidRDefault="005B4EA5" w:rsidP="005B4EA5">
            <w:pPr>
              <w:spacing w:before="120"/>
              <w:ind w:right="26"/>
              <w:jc w:val="both"/>
              <w:rPr>
                <w:b/>
                <w:lang w:val="en-US"/>
              </w:rPr>
            </w:pPr>
          </w:p>
        </w:tc>
        <w:tc>
          <w:tcPr>
            <w:tcW w:w="3600" w:type="dxa"/>
            <w:hideMark/>
          </w:tcPr>
          <w:p w14:paraId="1360894B" w14:textId="77777777" w:rsidR="005B4EA5" w:rsidRDefault="005B4EA5" w:rsidP="005B4EA5">
            <w:pPr>
              <w:rPr>
                <w:rFonts w:ascii="New York" w:hAnsi="New York"/>
                <w:lang w:val="en-US"/>
              </w:rPr>
            </w:pPr>
            <w:r>
              <w:rPr>
                <w:noProof/>
                <w:lang w:eastAsia="zh-CN" w:bidi="ar-SA"/>
              </w:rPr>
              <w:drawing>
                <wp:inline distT="0" distB="0" distL="0" distR="0" wp14:anchorId="2CEB722A" wp14:editId="5F8770F9">
                  <wp:extent cx="2162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tc>
      </w:tr>
      <w:tr w:rsidR="005B4EA5" w14:paraId="23362E54" w14:textId="77777777" w:rsidTr="005B4EA5">
        <w:trPr>
          <w:cantSplit/>
        </w:trPr>
        <w:tc>
          <w:tcPr>
            <w:tcW w:w="5760" w:type="dxa"/>
          </w:tcPr>
          <w:p w14:paraId="32D5D29B" w14:textId="77777777" w:rsidR="005B4EA5" w:rsidRPr="005030B1" w:rsidRDefault="005B4EA5" w:rsidP="005B4EA5">
            <w:pPr>
              <w:pStyle w:val="Heading2"/>
              <w:rPr>
                <w:rFonts w:cs="Arial"/>
                <w:i w:val="0"/>
                <w:iCs w:val="0"/>
                <w:sz w:val="36"/>
                <w:szCs w:val="36"/>
                <w:lang w:val="en-US"/>
              </w:rPr>
            </w:pPr>
            <w:r w:rsidRPr="005030B1">
              <w:rPr>
                <w:rFonts w:cs="Arial"/>
                <w:bCs w:val="0"/>
                <w:i w:val="0"/>
                <w:iCs w:val="0"/>
                <w:sz w:val="36"/>
                <w:szCs w:val="36"/>
              </w:rPr>
              <w:t>Senate</w:t>
            </w:r>
          </w:p>
          <w:p w14:paraId="4FFD4DF6" w14:textId="77777777" w:rsidR="005B4EA5" w:rsidRPr="005030B1" w:rsidRDefault="005B4EA5" w:rsidP="005B4EA5">
            <w:pPr>
              <w:rPr>
                <w:sz w:val="36"/>
                <w:szCs w:val="36"/>
                <w:lang w:val="en-US"/>
              </w:rPr>
            </w:pPr>
          </w:p>
        </w:tc>
        <w:tc>
          <w:tcPr>
            <w:tcW w:w="3600" w:type="dxa"/>
          </w:tcPr>
          <w:p w14:paraId="43A4C569" w14:textId="77777777" w:rsidR="005B4EA5" w:rsidRDefault="005B4EA5" w:rsidP="005B4EA5">
            <w:pPr>
              <w:rPr>
                <w:rFonts w:cs="Arial"/>
                <w:noProof/>
                <w:lang w:val="en-US"/>
              </w:rPr>
            </w:pPr>
          </w:p>
        </w:tc>
      </w:tr>
    </w:tbl>
    <w:p w14:paraId="709C168B" w14:textId="77777777" w:rsidR="005B4EA5" w:rsidRPr="00304FD2" w:rsidRDefault="005B4EA5" w:rsidP="005B4EA5">
      <w:pPr>
        <w:ind w:left="1440" w:hanging="1440"/>
        <w:rPr>
          <w:rFonts w:cs="Arial"/>
        </w:rPr>
      </w:pPr>
      <w:r>
        <w:rPr>
          <w:rFonts w:cs="Arial"/>
          <w:b/>
          <w:sz w:val="28"/>
        </w:rPr>
        <w:t>Subject:</w:t>
      </w:r>
      <w:r>
        <w:rPr>
          <w:rFonts w:cs="Arial"/>
          <w:b/>
          <w:sz w:val="28"/>
        </w:rPr>
        <w:tab/>
      </w:r>
      <w:r w:rsidRPr="00304FD2">
        <w:rPr>
          <w:rFonts w:cs="Arial"/>
        </w:rPr>
        <w:t>Student Placements</w:t>
      </w:r>
    </w:p>
    <w:p w14:paraId="2F19BE05" w14:textId="77777777" w:rsidR="005B4EA5" w:rsidRDefault="005B4EA5" w:rsidP="005B4EA5">
      <w:pPr>
        <w:rPr>
          <w:rFonts w:cs="Arial"/>
          <w:b/>
          <w:sz w:val="28"/>
        </w:rPr>
      </w:pPr>
    </w:p>
    <w:p w14:paraId="099B9279" w14:textId="77777777" w:rsidR="005B4EA5" w:rsidRPr="00304FD2" w:rsidRDefault="005B4EA5" w:rsidP="005B4EA5">
      <w:pPr>
        <w:ind w:left="1440" w:hanging="1440"/>
        <w:rPr>
          <w:rFonts w:ascii="Times New Roman" w:hAnsi="Times New Roman"/>
        </w:rPr>
      </w:pPr>
      <w:r>
        <w:rPr>
          <w:rFonts w:cs="Arial"/>
          <w:b/>
          <w:sz w:val="28"/>
        </w:rPr>
        <w:t>Origin:</w:t>
      </w:r>
      <w:r>
        <w:rPr>
          <w:rFonts w:cs="Arial"/>
          <w:b/>
          <w:sz w:val="28"/>
        </w:rPr>
        <w:tab/>
      </w:r>
      <w:r w:rsidRPr="00304FD2">
        <w:rPr>
          <w:rFonts w:cs="Arial"/>
        </w:rPr>
        <w:t>Anne Mumford, Morag Bell</w:t>
      </w:r>
    </w:p>
    <w:p w14:paraId="304ED877" w14:textId="77777777" w:rsidR="005B4EA5" w:rsidRDefault="005B4EA5" w:rsidP="005B4EA5">
      <w:pPr>
        <w:tabs>
          <w:tab w:val="left" w:pos="8460"/>
        </w:tabs>
        <w:rPr>
          <w:b/>
          <w:sz w:val="28"/>
          <w:u w:val="single"/>
        </w:rPr>
      </w:pPr>
      <w:r>
        <w:rPr>
          <w:b/>
          <w:sz w:val="28"/>
          <w:u w:val="single"/>
        </w:rPr>
        <w:tab/>
        <w:t>__</w:t>
      </w:r>
    </w:p>
    <w:p w14:paraId="5BD32306" w14:textId="77777777" w:rsidR="005B4EA5" w:rsidRDefault="005B4EA5" w:rsidP="005B4EA5">
      <w:pPr>
        <w:rPr>
          <w:sz w:val="28"/>
          <w:lang w:val="en-US"/>
        </w:rPr>
      </w:pPr>
    </w:p>
    <w:p w14:paraId="403E0D1E" w14:textId="278A1DBA" w:rsidR="00D82BC1" w:rsidRDefault="005B4EA5" w:rsidP="005B4EA5">
      <w:pPr>
        <w:rPr>
          <w:rFonts w:cs="Arial"/>
          <w:sz w:val="22"/>
          <w:szCs w:val="22"/>
        </w:rPr>
      </w:pPr>
      <w:r w:rsidRPr="00AE2244">
        <w:rPr>
          <w:rFonts w:cs="Arial"/>
          <w:b/>
          <w:sz w:val="22"/>
          <w:szCs w:val="22"/>
        </w:rPr>
        <w:t xml:space="preserve">Executive Summary:  </w:t>
      </w:r>
      <w:r w:rsidRPr="00304FD2">
        <w:rPr>
          <w:rFonts w:cs="Arial"/>
          <w:sz w:val="22"/>
          <w:szCs w:val="22"/>
        </w:rPr>
        <w:t xml:space="preserve">At its July 2011 meeting Senate considered a proposal by the PVC(T) that all undergraduate students across all programmes commencing with the 2012 intake should have the opportunity to undertake a placement (broadly defined) during their studies. </w:t>
      </w:r>
      <w:r>
        <w:rPr>
          <w:rFonts w:cs="Arial"/>
          <w:sz w:val="22"/>
          <w:szCs w:val="22"/>
        </w:rPr>
        <w:t xml:space="preserve">It was noted that </w:t>
      </w:r>
      <w:r w:rsidR="00A61A52">
        <w:rPr>
          <w:rFonts w:cs="Arial"/>
          <w:sz w:val="22"/>
          <w:szCs w:val="22"/>
        </w:rPr>
        <w:t>academic</w:t>
      </w:r>
      <w:r>
        <w:rPr>
          <w:rFonts w:cs="Arial"/>
          <w:sz w:val="22"/>
          <w:szCs w:val="22"/>
        </w:rPr>
        <w:t xml:space="preserve"> placement</w:t>
      </w:r>
      <w:r w:rsidR="00A61A52">
        <w:rPr>
          <w:rFonts w:cs="Arial"/>
          <w:sz w:val="22"/>
          <w:szCs w:val="22"/>
        </w:rPr>
        <w:t>s such as</w:t>
      </w:r>
      <w:r>
        <w:rPr>
          <w:rFonts w:cs="Arial"/>
          <w:sz w:val="22"/>
          <w:szCs w:val="22"/>
        </w:rPr>
        <w:t xml:space="preserve"> study abroad and student international exchanges</w:t>
      </w:r>
      <w:r w:rsidR="00A61A52">
        <w:rPr>
          <w:rFonts w:cs="Arial"/>
          <w:sz w:val="22"/>
          <w:szCs w:val="22"/>
        </w:rPr>
        <w:t xml:space="preserve"> should be included within the definition</w:t>
      </w:r>
      <w:r>
        <w:rPr>
          <w:rFonts w:cs="Arial"/>
          <w:sz w:val="22"/>
          <w:szCs w:val="22"/>
        </w:rPr>
        <w:t xml:space="preserve">.  </w:t>
      </w:r>
      <w:r w:rsidR="00A61A52">
        <w:rPr>
          <w:rFonts w:cs="Arial"/>
          <w:sz w:val="22"/>
          <w:szCs w:val="22"/>
        </w:rPr>
        <w:t>Senate</w:t>
      </w:r>
      <w:r w:rsidRPr="00304FD2">
        <w:rPr>
          <w:rFonts w:cs="Arial"/>
          <w:sz w:val="22"/>
          <w:szCs w:val="22"/>
        </w:rPr>
        <w:t xml:space="preserve"> agreed that a feasibility study should be undertaken</w:t>
      </w:r>
      <w:r>
        <w:rPr>
          <w:rFonts w:cs="Arial"/>
          <w:sz w:val="22"/>
          <w:szCs w:val="22"/>
        </w:rPr>
        <w:t xml:space="preserve"> </w:t>
      </w:r>
      <w:r w:rsidR="00A61A52">
        <w:rPr>
          <w:rFonts w:cs="Arial"/>
          <w:sz w:val="22"/>
          <w:szCs w:val="22"/>
        </w:rPr>
        <w:t xml:space="preserve">specifically on </w:t>
      </w:r>
      <w:r>
        <w:rPr>
          <w:rFonts w:cs="Arial"/>
          <w:sz w:val="22"/>
          <w:szCs w:val="22"/>
        </w:rPr>
        <w:t>work placement</w:t>
      </w:r>
      <w:r w:rsidR="00A61A52">
        <w:rPr>
          <w:rFonts w:cs="Arial"/>
          <w:sz w:val="22"/>
          <w:szCs w:val="22"/>
        </w:rPr>
        <w:t xml:space="preserve"> activity</w:t>
      </w:r>
      <w:r w:rsidRPr="00304FD2">
        <w:rPr>
          <w:rFonts w:cs="Arial"/>
          <w:sz w:val="22"/>
          <w:szCs w:val="22"/>
        </w:rPr>
        <w:t xml:space="preserve">. This paper reports </w:t>
      </w:r>
      <w:r w:rsidR="00A61A52">
        <w:rPr>
          <w:rFonts w:cs="Arial"/>
          <w:sz w:val="22"/>
          <w:szCs w:val="22"/>
        </w:rPr>
        <w:t>on the key findings of that study</w:t>
      </w:r>
      <w:r w:rsidRPr="00304FD2">
        <w:rPr>
          <w:rFonts w:cs="Arial"/>
          <w:sz w:val="22"/>
          <w:szCs w:val="22"/>
        </w:rPr>
        <w:t>.</w:t>
      </w:r>
      <w:r w:rsidR="00E42D2A">
        <w:rPr>
          <w:rFonts w:cs="Arial"/>
          <w:sz w:val="22"/>
          <w:szCs w:val="22"/>
        </w:rPr>
        <w:t xml:space="preserve">  </w:t>
      </w:r>
    </w:p>
    <w:p w14:paraId="3DD9CB0F" w14:textId="77777777" w:rsidR="00763A49" w:rsidRPr="00304FD2" w:rsidRDefault="00763A49" w:rsidP="005B4EA5">
      <w:pPr>
        <w:rPr>
          <w:rFonts w:cs="Arial"/>
          <w:sz w:val="22"/>
          <w:szCs w:val="22"/>
        </w:rPr>
      </w:pPr>
    </w:p>
    <w:p w14:paraId="100A2DEA" w14:textId="19CF0429" w:rsidR="00E42D2A" w:rsidRPr="00D82BC1" w:rsidRDefault="005B4EA5" w:rsidP="00D82BC1">
      <w:pPr>
        <w:rPr>
          <w:rFonts w:cs="Arial"/>
          <w:sz w:val="22"/>
          <w:szCs w:val="22"/>
        </w:rPr>
      </w:pPr>
      <w:r w:rsidRPr="00304FD2">
        <w:rPr>
          <w:rFonts w:cs="Arial"/>
          <w:b/>
          <w:sz w:val="22"/>
          <w:szCs w:val="22"/>
        </w:rPr>
        <w:t>Actions Required:</w:t>
      </w:r>
      <w:r>
        <w:rPr>
          <w:rFonts w:cs="Arial"/>
          <w:sz w:val="22"/>
          <w:szCs w:val="22"/>
        </w:rPr>
        <w:t xml:space="preserve">  </w:t>
      </w:r>
      <w:r w:rsidR="00D82BC1">
        <w:rPr>
          <w:rFonts w:cs="Arial"/>
          <w:sz w:val="22"/>
          <w:szCs w:val="22"/>
        </w:rPr>
        <w:t xml:space="preserve">Learning and Teaching Committee supported the findings of this paper at its meeting on 16 February 2012, and recommends the actions below to Senate.  </w:t>
      </w:r>
    </w:p>
    <w:p w14:paraId="71902400" w14:textId="77777777" w:rsidR="005B4EA5" w:rsidRPr="00304FD2" w:rsidRDefault="005B4EA5" w:rsidP="005B4EA5">
      <w:pPr>
        <w:rPr>
          <w:rFonts w:cs="Arial"/>
          <w:sz w:val="22"/>
          <w:szCs w:val="22"/>
        </w:rPr>
      </w:pPr>
    </w:p>
    <w:p w14:paraId="41C20478" w14:textId="77777777" w:rsidR="005B4EA5" w:rsidRPr="00117E5D" w:rsidRDefault="005B4EA5" w:rsidP="005B4EA5">
      <w:pPr>
        <w:tabs>
          <w:tab w:val="left" w:pos="9000"/>
          <w:tab w:val="left" w:pos="10065"/>
        </w:tabs>
        <w:ind w:right="48"/>
        <w:rPr>
          <w:rFonts w:ascii="Times New Roman" w:eastAsia="Times New Roman" w:hAnsi="Times New Roman"/>
          <w:b/>
          <w:u w:val="single"/>
        </w:rPr>
      </w:pPr>
      <w:r>
        <w:rPr>
          <w:b/>
          <w:u w:val="single"/>
        </w:rPr>
        <w:tab/>
      </w:r>
    </w:p>
    <w:p w14:paraId="4B323BCC" w14:textId="77777777" w:rsidR="005B4EA5" w:rsidRPr="009B7857" w:rsidRDefault="005B4EA5" w:rsidP="005B4EA5">
      <w:pPr>
        <w:pStyle w:val="Heading2"/>
        <w:rPr>
          <w:i w:val="0"/>
          <w:iCs w:val="0"/>
          <w:sz w:val="22"/>
          <w:szCs w:val="22"/>
        </w:rPr>
      </w:pPr>
      <w:r w:rsidRPr="009B7857">
        <w:rPr>
          <w:i w:val="0"/>
          <w:iCs w:val="0"/>
          <w:sz w:val="22"/>
          <w:szCs w:val="22"/>
        </w:rPr>
        <w:t>Background</w:t>
      </w:r>
    </w:p>
    <w:p w14:paraId="612CD088" w14:textId="77777777" w:rsidR="005B4EA5" w:rsidRPr="00AE2244" w:rsidRDefault="005B4EA5" w:rsidP="005B4EA5"/>
    <w:p w14:paraId="0F48DFEE" w14:textId="77777777" w:rsidR="005B4EA5" w:rsidRPr="00304FD2" w:rsidRDefault="005B4EA5" w:rsidP="005B4EA5">
      <w:pPr>
        <w:rPr>
          <w:rFonts w:cs="Arial"/>
          <w:sz w:val="22"/>
          <w:szCs w:val="22"/>
        </w:rPr>
      </w:pPr>
      <w:r w:rsidRPr="00304FD2">
        <w:rPr>
          <w:rFonts w:cs="Arial"/>
          <w:sz w:val="22"/>
          <w:szCs w:val="22"/>
        </w:rPr>
        <w:t xml:space="preserve">At its July 2011 meeting Senate considered a proposal by the PVC(T) that all students across all programmes commencing with the 2012 intake should have the opportunity to undertake a placement (broadly defined) during their studies. </w:t>
      </w:r>
      <w:r w:rsidR="00A61A52">
        <w:rPr>
          <w:rFonts w:cs="Arial"/>
          <w:sz w:val="22"/>
          <w:szCs w:val="22"/>
        </w:rPr>
        <w:t xml:space="preserve"> </w:t>
      </w:r>
      <w:r>
        <w:rPr>
          <w:rFonts w:cs="Arial"/>
          <w:sz w:val="22"/>
          <w:szCs w:val="22"/>
        </w:rPr>
        <w:t xml:space="preserve">It was noted that the placement should include </w:t>
      </w:r>
      <w:r w:rsidR="00A61A52">
        <w:rPr>
          <w:rFonts w:cs="Arial"/>
          <w:sz w:val="22"/>
          <w:szCs w:val="22"/>
        </w:rPr>
        <w:t xml:space="preserve">such activities as </w:t>
      </w:r>
      <w:r>
        <w:rPr>
          <w:rFonts w:cs="Arial"/>
          <w:sz w:val="22"/>
          <w:szCs w:val="22"/>
        </w:rPr>
        <w:t xml:space="preserve">study abroad and student international exchanges.  </w:t>
      </w:r>
      <w:r w:rsidRPr="00304FD2">
        <w:rPr>
          <w:rFonts w:cs="Arial"/>
          <w:sz w:val="22"/>
          <w:szCs w:val="22"/>
        </w:rPr>
        <w:t>Senate agreed that a feasibility study should be undertaken</w:t>
      </w:r>
      <w:r>
        <w:rPr>
          <w:rFonts w:cs="Arial"/>
          <w:sz w:val="22"/>
          <w:szCs w:val="22"/>
        </w:rPr>
        <w:t xml:space="preserve"> specifically on the work placement.  It was recognised that academic placements </w:t>
      </w:r>
      <w:r w:rsidR="00A61A52">
        <w:rPr>
          <w:rFonts w:cs="Arial"/>
          <w:sz w:val="22"/>
          <w:szCs w:val="22"/>
        </w:rPr>
        <w:t>are</w:t>
      </w:r>
      <w:r>
        <w:rPr>
          <w:rFonts w:cs="Arial"/>
          <w:sz w:val="22"/>
          <w:szCs w:val="22"/>
        </w:rPr>
        <w:t xml:space="preserve"> vitally important </w:t>
      </w:r>
      <w:r w:rsidR="00A61A52">
        <w:rPr>
          <w:rFonts w:cs="Arial"/>
          <w:sz w:val="22"/>
          <w:szCs w:val="22"/>
        </w:rPr>
        <w:t xml:space="preserve">but that the processes for developing and sustaining them are somewhat different and that they should be the subject of a separate study.  The outcomes of this work on academic placements will be reported to the Schools shortly.    </w:t>
      </w:r>
    </w:p>
    <w:p w14:paraId="79C35DDD" w14:textId="77777777" w:rsidR="005B4EA5" w:rsidRPr="00304FD2" w:rsidRDefault="005B4EA5" w:rsidP="005B4EA5">
      <w:pPr>
        <w:rPr>
          <w:rFonts w:cs="Arial"/>
          <w:sz w:val="22"/>
          <w:szCs w:val="22"/>
        </w:rPr>
      </w:pPr>
    </w:p>
    <w:p w14:paraId="56F4CE29" w14:textId="77777777" w:rsidR="005B4EA5" w:rsidRPr="00304FD2" w:rsidRDefault="005B4EA5" w:rsidP="005B4EA5">
      <w:pPr>
        <w:rPr>
          <w:rFonts w:cs="Arial"/>
          <w:sz w:val="22"/>
          <w:szCs w:val="22"/>
        </w:rPr>
      </w:pPr>
      <w:r w:rsidRPr="00304FD2">
        <w:rPr>
          <w:rFonts w:cs="Arial"/>
          <w:sz w:val="22"/>
          <w:szCs w:val="22"/>
        </w:rPr>
        <w:t xml:space="preserve">Anne Mumford was asked by Morag </w:t>
      </w:r>
      <w:r w:rsidR="00A61A52">
        <w:rPr>
          <w:rFonts w:cs="Arial"/>
          <w:sz w:val="22"/>
          <w:szCs w:val="22"/>
        </w:rPr>
        <w:t>Bell and Caroline Walker to draw</w:t>
      </w:r>
      <w:r w:rsidRPr="00304FD2">
        <w:rPr>
          <w:rFonts w:cs="Arial"/>
          <w:sz w:val="22"/>
          <w:szCs w:val="22"/>
        </w:rPr>
        <w:t xml:space="preserve"> together the various strands of the </w:t>
      </w:r>
      <w:r w:rsidR="00A61A52">
        <w:rPr>
          <w:rFonts w:cs="Arial"/>
          <w:sz w:val="22"/>
          <w:szCs w:val="22"/>
        </w:rPr>
        <w:t xml:space="preserve">work placement </w:t>
      </w:r>
      <w:r w:rsidRPr="00304FD2">
        <w:rPr>
          <w:rFonts w:cs="Arial"/>
          <w:sz w:val="22"/>
          <w:szCs w:val="22"/>
        </w:rPr>
        <w:t>feasibility study and to:</w:t>
      </w:r>
    </w:p>
    <w:p w14:paraId="0895E3DF" w14:textId="77777777" w:rsidR="005B4EA5" w:rsidRPr="00304FD2" w:rsidRDefault="005B4EA5" w:rsidP="005B4EA5">
      <w:pPr>
        <w:pStyle w:val="ListParagraph"/>
        <w:numPr>
          <w:ilvl w:val="0"/>
          <w:numId w:val="1"/>
        </w:numPr>
        <w:rPr>
          <w:rFonts w:cs="Arial"/>
          <w:sz w:val="22"/>
          <w:szCs w:val="22"/>
        </w:rPr>
      </w:pPr>
      <w:r w:rsidRPr="00304FD2">
        <w:rPr>
          <w:rFonts w:cs="Arial"/>
          <w:sz w:val="22"/>
          <w:szCs w:val="22"/>
        </w:rPr>
        <w:t>review current activity across the University which provides students with professional work experience (largely 45 week placements);</w:t>
      </w:r>
    </w:p>
    <w:p w14:paraId="7953A7D7" w14:textId="77777777" w:rsidR="005B4EA5" w:rsidRPr="00304FD2" w:rsidRDefault="005B4EA5" w:rsidP="005B4EA5">
      <w:pPr>
        <w:pStyle w:val="ListParagraph"/>
        <w:numPr>
          <w:ilvl w:val="0"/>
          <w:numId w:val="1"/>
        </w:numPr>
        <w:rPr>
          <w:rFonts w:cs="Arial"/>
          <w:sz w:val="22"/>
          <w:szCs w:val="22"/>
        </w:rPr>
      </w:pPr>
      <w:r w:rsidRPr="00304FD2">
        <w:rPr>
          <w:rFonts w:cs="Arial"/>
          <w:sz w:val="22"/>
          <w:szCs w:val="22"/>
        </w:rPr>
        <w:t>consider whether we can scale up existing placement opportunities and create new types of opportunity;</w:t>
      </w:r>
    </w:p>
    <w:p w14:paraId="195AEE66" w14:textId="77777777" w:rsidR="005B4EA5" w:rsidRPr="00304FD2" w:rsidRDefault="005B4EA5" w:rsidP="005B4EA5">
      <w:pPr>
        <w:pStyle w:val="ListParagraph"/>
        <w:numPr>
          <w:ilvl w:val="0"/>
          <w:numId w:val="1"/>
        </w:numPr>
        <w:rPr>
          <w:rFonts w:cs="Arial"/>
          <w:sz w:val="22"/>
          <w:szCs w:val="22"/>
        </w:rPr>
      </w:pPr>
      <w:r w:rsidRPr="00304FD2">
        <w:rPr>
          <w:rFonts w:cs="Arial"/>
          <w:sz w:val="22"/>
          <w:szCs w:val="22"/>
        </w:rPr>
        <w:t xml:space="preserve">identify what changes we might need in our procedures and systems; </w:t>
      </w:r>
    </w:p>
    <w:p w14:paraId="50788C4E" w14:textId="77777777" w:rsidR="005B4EA5" w:rsidRPr="00304FD2" w:rsidRDefault="005B4EA5" w:rsidP="005B4EA5">
      <w:pPr>
        <w:pStyle w:val="ListParagraph"/>
        <w:numPr>
          <w:ilvl w:val="0"/>
          <w:numId w:val="1"/>
        </w:numPr>
        <w:rPr>
          <w:rFonts w:cs="Arial"/>
          <w:sz w:val="22"/>
          <w:szCs w:val="22"/>
        </w:rPr>
      </w:pPr>
      <w:proofErr w:type="gramStart"/>
      <w:r w:rsidRPr="00304FD2">
        <w:rPr>
          <w:rFonts w:cs="Arial"/>
          <w:sz w:val="22"/>
          <w:szCs w:val="22"/>
        </w:rPr>
        <w:t>comment</w:t>
      </w:r>
      <w:proofErr w:type="gramEnd"/>
      <w:r w:rsidRPr="00304FD2">
        <w:rPr>
          <w:rFonts w:cs="Arial"/>
          <w:sz w:val="22"/>
          <w:szCs w:val="22"/>
        </w:rPr>
        <w:t xml:space="preserve"> on the support required to deliver this vision and where this support might be located.</w:t>
      </w:r>
    </w:p>
    <w:p w14:paraId="3BAB7097" w14:textId="77777777" w:rsidR="005B4EA5" w:rsidRPr="00304FD2" w:rsidRDefault="005B4EA5" w:rsidP="005B4EA5">
      <w:pPr>
        <w:rPr>
          <w:rFonts w:cs="Arial"/>
          <w:sz w:val="22"/>
          <w:szCs w:val="22"/>
        </w:rPr>
      </w:pPr>
    </w:p>
    <w:p w14:paraId="3B0B2C0B" w14:textId="77777777" w:rsidR="005B4EA5" w:rsidRPr="00304FD2" w:rsidRDefault="005B4EA5" w:rsidP="005B4EA5">
      <w:pPr>
        <w:rPr>
          <w:rFonts w:cs="Arial"/>
          <w:sz w:val="22"/>
          <w:szCs w:val="22"/>
        </w:rPr>
      </w:pPr>
      <w:r w:rsidRPr="00304FD2">
        <w:rPr>
          <w:rFonts w:cs="Arial"/>
          <w:sz w:val="22"/>
          <w:szCs w:val="22"/>
        </w:rPr>
        <w:t>The study was informed by:</w:t>
      </w:r>
    </w:p>
    <w:p w14:paraId="36A57E02" w14:textId="77777777" w:rsidR="005B4EA5" w:rsidRPr="00304FD2" w:rsidRDefault="005B4EA5" w:rsidP="005B4EA5">
      <w:pPr>
        <w:pStyle w:val="ListParagraph"/>
        <w:numPr>
          <w:ilvl w:val="0"/>
          <w:numId w:val="2"/>
        </w:numPr>
        <w:rPr>
          <w:rFonts w:cs="Arial"/>
          <w:sz w:val="22"/>
          <w:szCs w:val="22"/>
        </w:rPr>
      </w:pPr>
      <w:r w:rsidRPr="00304FD2">
        <w:rPr>
          <w:rFonts w:cs="Arial"/>
          <w:sz w:val="22"/>
          <w:szCs w:val="22"/>
        </w:rPr>
        <w:t>a report undertaken by SUMS;</w:t>
      </w:r>
    </w:p>
    <w:p w14:paraId="05DFEEAB" w14:textId="77777777" w:rsidR="005B4EA5" w:rsidRPr="00304FD2" w:rsidRDefault="005B4EA5" w:rsidP="005B4EA5">
      <w:pPr>
        <w:pStyle w:val="ListParagraph"/>
        <w:numPr>
          <w:ilvl w:val="0"/>
          <w:numId w:val="2"/>
        </w:numPr>
        <w:rPr>
          <w:rFonts w:cs="Arial"/>
          <w:sz w:val="22"/>
          <w:szCs w:val="22"/>
        </w:rPr>
      </w:pPr>
      <w:r w:rsidRPr="00304FD2">
        <w:rPr>
          <w:rFonts w:cs="Arial"/>
          <w:sz w:val="22"/>
          <w:szCs w:val="22"/>
        </w:rPr>
        <w:t>activities already undertaken prior to the Senate meeting in July 2011;</w:t>
      </w:r>
    </w:p>
    <w:p w14:paraId="7AD3C4B9" w14:textId="77777777" w:rsidR="005B4EA5" w:rsidRPr="00304FD2" w:rsidRDefault="005B4EA5" w:rsidP="005B4EA5">
      <w:pPr>
        <w:pStyle w:val="ListParagraph"/>
        <w:numPr>
          <w:ilvl w:val="0"/>
          <w:numId w:val="2"/>
        </w:numPr>
        <w:rPr>
          <w:rFonts w:cs="Arial"/>
          <w:sz w:val="22"/>
          <w:szCs w:val="22"/>
        </w:rPr>
      </w:pPr>
      <w:r w:rsidRPr="00304FD2">
        <w:rPr>
          <w:rFonts w:cs="Arial"/>
          <w:sz w:val="22"/>
          <w:szCs w:val="22"/>
        </w:rPr>
        <w:t>a review of information systems which might be purchased/developed;</w:t>
      </w:r>
    </w:p>
    <w:p w14:paraId="292EECA9" w14:textId="77777777" w:rsidR="005B4EA5" w:rsidRPr="00304FD2" w:rsidRDefault="005B4EA5" w:rsidP="005B4EA5">
      <w:pPr>
        <w:pStyle w:val="ListParagraph"/>
        <w:numPr>
          <w:ilvl w:val="0"/>
          <w:numId w:val="2"/>
        </w:numPr>
        <w:rPr>
          <w:rFonts w:cs="Arial"/>
          <w:sz w:val="22"/>
          <w:szCs w:val="22"/>
        </w:rPr>
      </w:pPr>
      <w:r w:rsidRPr="00304FD2">
        <w:rPr>
          <w:rFonts w:cs="Arial"/>
          <w:sz w:val="22"/>
          <w:szCs w:val="22"/>
        </w:rPr>
        <w:t>a report by the Careers and Employability Centre (CEC) which reviewed current practice and reported on a survey of exhibitors at the Careers Fair;</w:t>
      </w:r>
    </w:p>
    <w:p w14:paraId="0839E830" w14:textId="77777777" w:rsidR="005B4EA5" w:rsidRPr="00304FD2" w:rsidRDefault="005B4EA5" w:rsidP="005B4EA5">
      <w:pPr>
        <w:pStyle w:val="ListParagraph"/>
        <w:numPr>
          <w:ilvl w:val="0"/>
          <w:numId w:val="2"/>
        </w:numPr>
        <w:rPr>
          <w:rFonts w:cs="Arial"/>
          <w:sz w:val="22"/>
          <w:szCs w:val="22"/>
        </w:rPr>
      </w:pPr>
      <w:r w:rsidRPr="00304FD2">
        <w:rPr>
          <w:rFonts w:cs="Arial"/>
          <w:sz w:val="22"/>
          <w:szCs w:val="22"/>
        </w:rPr>
        <w:lastRenderedPageBreak/>
        <w:t>meetings with Deans and their colleagues in all Schools;</w:t>
      </w:r>
    </w:p>
    <w:p w14:paraId="308D3648" w14:textId="77777777" w:rsidR="005B4EA5" w:rsidRPr="00304FD2" w:rsidRDefault="005B4EA5" w:rsidP="005B4EA5">
      <w:pPr>
        <w:pStyle w:val="ListParagraph"/>
        <w:numPr>
          <w:ilvl w:val="0"/>
          <w:numId w:val="2"/>
        </w:numPr>
        <w:rPr>
          <w:rFonts w:cs="Arial"/>
          <w:sz w:val="22"/>
          <w:szCs w:val="22"/>
        </w:rPr>
      </w:pPr>
      <w:r w:rsidRPr="00304FD2">
        <w:rPr>
          <w:rFonts w:cs="Arial"/>
          <w:sz w:val="22"/>
          <w:szCs w:val="22"/>
        </w:rPr>
        <w:t>meetings with colleagues from CEC, IT Services, Marketing &amp; Communications and with the PVC(T);</w:t>
      </w:r>
    </w:p>
    <w:p w14:paraId="34682E84" w14:textId="77777777" w:rsidR="005B4EA5" w:rsidRPr="00304FD2" w:rsidRDefault="005B4EA5" w:rsidP="005B4EA5">
      <w:pPr>
        <w:pStyle w:val="ListParagraph"/>
        <w:numPr>
          <w:ilvl w:val="0"/>
          <w:numId w:val="2"/>
        </w:numPr>
        <w:rPr>
          <w:rFonts w:cs="Arial"/>
          <w:sz w:val="22"/>
          <w:szCs w:val="22"/>
        </w:rPr>
      </w:pPr>
      <w:proofErr w:type="gramStart"/>
      <w:r w:rsidRPr="00304FD2">
        <w:rPr>
          <w:rFonts w:cs="Arial"/>
          <w:sz w:val="22"/>
          <w:szCs w:val="22"/>
        </w:rPr>
        <w:t>the</w:t>
      </w:r>
      <w:proofErr w:type="gramEnd"/>
      <w:r w:rsidRPr="00304FD2">
        <w:rPr>
          <w:rFonts w:cs="Arial"/>
          <w:sz w:val="22"/>
          <w:szCs w:val="22"/>
        </w:rPr>
        <w:t xml:space="preserve"> views of the Steering Group set up by the PVC(T) to oversee the work.</w:t>
      </w:r>
    </w:p>
    <w:p w14:paraId="1BCD46F0" w14:textId="77777777" w:rsidR="005B4EA5" w:rsidRPr="00304FD2" w:rsidRDefault="005B4EA5" w:rsidP="005B4EA5">
      <w:pPr>
        <w:rPr>
          <w:rFonts w:cs="Arial"/>
          <w:sz w:val="22"/>
          <w:szCs w:val="22"/>
        </w:rPr>
      </w:pPr>
    </w:p>
    <w:p w14:paraId="2D271585" w14:textId="77777777" w:rsidR="005B4EA5" w:rsidRPr="00304FD2" w:rsidRDefault="005B4EA5" w:rsidP="005B4EA5">
      <w:pPr>
        <w:rPr>
          <w:rFonts w:cs="Arial"/>
          <w:sz w:val="22"/>
          <w:szCs w:val="22"/>
        </w:rPr>
      </w:pPr>
      <w:r w:rsidRPr="00304FD2">
        <w:rPr>
          <w:rFonts w:cs="Arial"/>
          <w:sz w:val="22"/>
          <w:szCs w:val="22"/>
        </w:rPr>
        <w:t xml:space="preserve">This paper focuses on key </w:t>
      </w:r>
      <w:r>
        <w:rPr>
          <w:rFonts w:cs="Arial"/>
          <w:sz w:val="22"/>
          <w:szCs w:val="22"/>
        </w:rPr>
        <w:t xml:space="preserve">findings and seeks </w:t>
      </w:r>
      <w:r w:rsidR="00A61A52">
        <w:rPr>
          <w:rFonts w:cs="Arial"/>
          <w:sz w:val="22"/>
          <w:szCs w:val="22"/>
        </w:rPr>
        <w:t xml:space="preserve">Senate’s </w:t>
      </w:r>
      <w:r w:rsidRPr="00304FD2">
        <w:rPr>
          <w:rFonts w:cs="Arial"/>
          <w:sz w:val="22"/>
          <w:szCs w:val="22"/>
        </w:rPr>
        <w:t>support for these. More detail can be seen in the reports and notes of the meetings</w:t>
      </w:r>
      <w:r w:rsidR="00A61A52">
        <w:rPr>
          <w:rFonts w:cs="Arial"/>
          <w:sz w:val="22"/>
          <w:szCs w:val="22"/>
        </w:rPr>
        <w:t>.  (</w:t>
      </w:r>
      <w:r w:rsidR="003B53E1">
        <w:rPr>
          <w:rFonts w:cs="Arial"/>
          <w:sz w:val="22"/>
          <w:szCs w:val="22"/>
        </w:rPr>
        <w:t xml:space="preserve">They are available from </w:t>
      </w:r>
      <w:r w:rsidRPr="00304FD2">
        <w:rPr>
          <w:rFonts w:cs="Arial"/>
          <w:sz w:val="22"/>
          <w:szCs w:val="22"/>
        </w:rPr>
        <w:t>Anne Mumford</w:t>
      </w:r>
      <w:r w:rsidR="003B53E1">
        <w:rPr>
          <w:rFonts w:cs="Arial"/>
          <w:sz w:val="22"/>
          <w:szCs w:val="22"/>
        </w:rPr>
        <w:t>.)</w:t>
      </w:r>
    </w:p>
    <w:p w14:paraId="4F7148DC" w14:textId="77777777" w:rsidR="005B4EA5" w:rsidRPr="00304FD2" w:rsidRDefault="005B4EA5" w:rsidP="005B4EA5">
      <w:pPr>
        <w:rPr>
          <w:rFonts w:cs="Arial"/>
          <w:sz w:val="22"/>
          <w:szCs w:val="22"/>
        </w:rPr>
      </w:pPr>
    </w:p>
    <w:p w14:paraId="48050CF1" w14:textId="77777777" w:rsidR="005B4EA5" w:rsidRPr="00304FD2" w:rsidRDefault="005B4EA5" w:rsidP="005B4EA5">
      <w:pPr>
        <w:rPr>
          <w:rFonts w:cs="Arial"/>
          <w:sz w:val="22"/>
          <w:szCs w:val="22"/>
        </w:rPr>
      </w:pPr>
      <w:r w:rsidRPr="00304FD2">
        <w:rPr>
          <w:rFonts w:cs="Arial"/>
          <w:sz w:val="22"/>
          <w:szCs w:val="22"/>
        </w:rPr>
        <w:t xml:space="preserve">This placements work links to a wider discussion about partnerships which is taking place in the University and, although relevant, it is not expanded on here. </w:t>
      </w:r>
    </w:p>
    <w:p w14:paraId="04CE5E68" w14:textId="77777777" w:rsidR="005B4EA5" w:rsidRPr="00304FD2" w:rsidRDefault="005B4EA5" w:rsidP="005B4EA5">
      <w:pPr>
        <w:rPr>
          <w:rFonts w:cs="Arial"/>
          <w:sz w:val="22"/>
          <w:szCs w:val="22"/>
        </w:rPr>
      </w:pPr>
    </w:p>
    <w:p w14:paraId="7C0881FC" w14:textId="77777777" w:rsidR="005B4EA5" w:rsidRPr="009B7857" w:rsidRDefault="005B4EA5" w:rsidP="005B4EA5">
      <w:pPr>
        <w:rPr>
          <w:iCs/>
          <w:sz w:val="22"/>
          <w:szCs w:val="22"/>
        </w:rPr>
      </w:pPr>
      <w:r w:rsidRPr="009B7857">
        <w:rPr>
          <w:b/>
          <w:iCs/>
          <w:sz w:val="22"/>
          <w:szCs w:val="22"/>
        </w:rPr>
        <w:t>Key Findings</w:t>
      </w:r>
    </w:p>
    <w:p w14:paraId="6D6FA851" w14:textId="77777777" w:rsidR="005B4EA5" w:rsidRPr="00304FD2" w:rsidRDefault="005B4EA5" w:rsidP="005B4EA5">
      <w:pPr>
        <w:rPr>
          <w:sz w:val="22"/>
          <w:szCs w:val="22"/>
        </w:rPr>
      </w:pPr>
    </w:p>
    <w:p w14:paraId="6F990A5B" w14:textId="77777777" w:rsidR="005B4EA5" w:rsidRPr="00304FD2" w:rsidRDefault="005B4EA5" w:rsidP="005B4EA5">
      <w:pPr>
        <w:rPr>
          <w:rFonts w:cs="Arial"/>
          <w:sz w:val="22"/>
          <w:szCs w:val="22"/>
        </w:rPr>
      </w:pPr>
      <w:r w:rsidRPr="00304FD2">
        <w:rPr>
          <w:rFonts w:cs="Arial"/>
          <w:sz w:val="22"/>
          <w:szCs w:val="22"/>
        </w:rPr>
        <w:t xml:space="preserve">It is essential that in seeking to deliver the proposed vision we do not undermine what we do so very well at Loughborough University in providing 45 week placement opportunities for around one third of all undergraduate students, most of </w:t>
      </w:r>
      <w:proofErr w:type="gramStart"/>
      <w:r w:rsidRPr="00304FD2">
        <w:rPr>
          <w:rFonts w:cs="Arial"/>
          <w:sz w:val="22"/>
          <w:szCs w:val="22"/>
        </w:rPr>
        <w:t>whom</w:t>
      </w:r>
      <w:proofErr w:type="gramEnd"/>
      <w:r w:rsidRPr="00304FD2">
        <w:rPr>
          <w:rFonts w:cs="Arial"/>
          <w:sz w:val="22"/>
          <w:szCs w:val="22"/>
        </w:rPr>
        <w:t xml:space="preserve"> take up this opportunity at the end of their second year. We assist students in finding professional work experience relevant to their studies with supportive companies and organisations, and we provide excellent support from the University both for the students and the companies and organisations with whom they are placed. </w:t>
      </w:r>
    </w:p>
    <w:p w14:paraId="5D2F4AA7" w14:textId="77777777" w:rsidR="005B4EA5" w:rsidRPr="00304FD2" w:rsidRDefault="005B4EA5" w:rsidP="005B4EA5">
      <w:pPr>
        <w:rPr>
          <w:rFonts w:cs="Arial"/>
          <w:sz w:val="22"/>
          <w:szCs w:val="22"/>
        </w:rPr>
      </w:pPr>
    </w:p>
    <w:p w14:paraId="7A4FE3C6" w14:textId="77777777" w:rsidR="005B4EA5" w:rsidRPr="00304FD2" w:rsidRDefault="005B4EA5" w:rsidP="005B4EA5">
      <w:pPr>
        <w:rPr>
          <w:rFonts w:cs="Arial"/>
          <w:sz w:val="22"/>
          <w:szCs w:val="22"/>
        </w:rPr>
      </w:pPr>
      <w:r w:rsidRPr="00304FD2">
        <w:rPr>
          <w:rFonts w:cs="Arial"/>
          <w:sz w:val="22"/>
          <w:szCs w:val="22"/>
        </w:rPr>
        <w:t>The following actions are proposed in order to deliver the vision articulated to Senate:</w:t>
      </w:r>
    </w:p>
    <w:p w14:paraId="65E20D7A" w14:textId="77777777" w:rsidR="005B4EA5" w:rsidRPr="00304FD2" w:rsidRDefault="005B4EA5" w:rsidP="005B4EA5">
      <w:pPr>
        <w:pStyle w:val="ListParagraph"/>
        <w:numPr>
          <w:ilvl w:val="0"/>
          <w:numId w:val="3"/>
        </w:numPr>
        <w:rPr>
          <w:sz w:val="22"/>
          <w:szCs w:val="22"/>
        </w:rPr>
      </w:pPr>
      <w:r w:rsidRPr="00304FD2">
        <w:rPr>
          <w:rFonts w:cs="Arial"/>
          <w:sz w:val="22"/>
          <w:szCs w:val="22"/>
        </w:rPr>
        <w:t xml:space="preserve">The University should adopt the description “professional work experience” as an appropriate over-arching phrase </w:t>
      </w:r>
      <w:r w:rsidRPr="00304FD2">
        <w:rPr>
          <w:sz w:val="22"/>
          <w:szCs w:val="22"/>
        </w:rPr>
        <w:t>to summarise the range of opportunities at graduate level that would distinguish them from other work opportunities for undergraduates. Our traditional 45 week “placements” would sit within this.</w:t>
      </w:r>
    </w:p>
    <w:p w14:paraId="2C2BE68D" w14:textId="77777777" w:rsidR="005B4EA5" w:rsidRPr="00304FD2" w:rsidRDefault="005B4EA5" w:rsidP="005B4EA5">
      <w:pPr>
        <w:pStyle w:val="ListParagraph"/>
        <w:numPr>
          <w:ilvl w:val="0"/>
          <w:numId w:val="3"/>
        </w:numPr>
        <w:rPr>
          <w:sz w:val="22"/>
          <w:szCs w:val="22"/>
        </w:rPr>
      </w:pPr>
      <w:r w:rsidRPr="00304FD2">
        <w:rPr>
          <w:sz w:val="22"/>
          <w:szCs w:val="22"/>
        </w:rPr>
        <w:t>The range of professional work experience opportunities offered by Loughborough University should be made available on all programmes and expanded beyond the current 45 week placements leading to a DIS/DPS to encompass a more flexible range of opportunities which may include:</w:t>
      </w:r>
    </w:p>
    <w:p w14:paraId="2B3871E9" w14:textId="77777777" w:rsidR="005B4EA5" w:rsidRPr="00304FD2" w:rsidRDefault="005B4EA5" w:rsidP="005B4EA5">
      <w:pPr>
        <w:pStyle w:val="ListParagraph"/>
        <w:numPr>
          <w:ilvl w:val="1"/>
          <w:numId w:val="3"/>
        </w:numPr>
        <w:rPr>
          <w:sz w:val="22"/>
          <w:szCs w:val="22"/>
        </w:rPr>
      </w:pPr>
      <w:r w:rsidRPr="00304FD2">
        <w:rPr>
          <w:sz w:val="22"/>
          <w:szCs w:val="22"/>
        </w:rPr>
        <w:t>opportunities as part of the academic programme;</w:t>
      </w:r>
    </w:p>
    <w:p w14:paraId="2F76C473" w14:textId="77777777" w:rsidR="005B4EA5" w:rsidRPr="00304FD2" w:rsidRDefault="005B4EA5" w:rsidP="005B4EA5">
      <w:pPr>
        <w:pStyle w:val="ListParagraph"/>
        <w:numPr>
          <w:ilvl w:val="1"/>
          <w:numId w:val="3"/>
        </w:numPr>
        <w:rPr>
          <w:sz w:val="22"/>
          <w:szCs w:val="22"/>
        </w:rPr>
      </w:pPr>
      <w:r w:rsidRPr="00304FD2">
        <w:rPr>
          <w:sz w:val="22"/>
          <w:szCs w:val="22"/>
        </w:rPr>
        <w:t>day release work experience in semester;</w:t>
      </w:r>
    </w:p>
    <w:p w14:paraId="7A5B2A38" w14:textId="77777777" w:rsidR="005B4EA5" w:rsidRPr="00304FD2" w:rsidRDefault="005B4EA5" w:rsidP="005B4EA5">
      <w:pPr>
        <w:pStyle w:val="ListParagraph"/>
        <w:numPr>
          <w:ilvl w:val="1"/>
          <w:numId w:val="3"/>
        </w:numPr>
        <w:rPr>
          <w:sz w:val="22"/>
          <w:szCs w:val="22"/>
        </w:rPr>
      </w:pPr>
      <w:proofErr w:type="gramStart"/>
      <w:r w:rsidRPr="00304FD2">
        <w:rPr>
          <w:sz w:val="22"/>
          <w:szCs w:val="22"/>
        </w:rPr>
        <w:t>vacation</w:t>
      </w:r>
      <w:proofErr w:type="gramEnd"/>
      <w:r w:rsidRPr="00304FD2">
        <w:rPr>
          <w:sz w:val="22"/>
          <w:szCs w:val="22"/>
        </w:rPr>
        <w:t xml:space="preserve"> placements.</w:t>
      </w:r>
    </w:p>
    <w:p w14:paraId="166F9A43" w14:textId="77777777" w:rsidR="005B4EA5" w:rsidRPr="00304FD2" w:rsidRDefault="005B4EA5" w:rsidP="005B4EA5">
      <w:pPr>
        <w:pStyle w:val="ListParagraph"/>
        <w:numPr>
          <w:ilvl w:val="0"/>
          <w:numId w:val="3"/>
        </w:numPr>
        <w:rPr>
          <w:sz w:val="22"/>
          <w:szCs w:val="22"/>
        </w:rPr>
      </w:pPr>
      <w:r w:rsidRPr="00304FD2">
        <w:rPr>
          <w:sz w:val="22"/>
          <w:szCs w:val="22"/>
        </w:rPr>
        <w:t>There should be formal recognition of this greater range of opportunities which may be through:</w:t>
      </w:r>
    </w:p>
    <w:p w14:paraId="527DAFD1" w14:textId="77777777" w:rsidR="005B4EA5" w:rsidRPr="00304FD2" w:rsidRDefault="005B4EA5" w:rsidP="005B4EA5">
      <w:pPr>
        <w:pStyle w:val="ListParagraph"/>
        <w:numPr>
          <w:ilvl w:val="1"/>
          <w:numId w:val="3"/>
        </w:numPr>
        <w:rPr>
          <w:sz w:val="22"/>
          <w:szCs w:val="22"/>
        </w:rPr>
      </w:pPr>
      <w:r w:rsidRPr="00304FD2">
        <w:rPr>
          <w:sz w:val="22"/>
          <w:szCs w:val="22"/>
        </w:rPr>
        <w:t>credit bearing modules within programmes;</w:t>
      </w:r>
    </w:p>
    <w:p w14:paraId="3ACEB699" w14:textId="77777777" w:rsidR="005B4EA5" w:rsidRPr="00304FD2" w:rsidRDefault="005B4EA5" w:rsidP="005B4EA5">
      <w:pPr>
        <w:pStyle w:val="ListParagraph"/>
        <w:numPr>
          <w:ilvl w:val="1"/>
          <w:numId w:val="3"/>
        </w:numPr>
        <w:rPr>
          <w:sz w:val="22"/>
          <w:szCs w:val="22"/>
        </w:rPr>
      </w:pPr>
      <w:proofErr w:type="gramStart"/>
      <w:r w:rsidRPr="00304FD2">
        <w:rPr>
          <w:sz w:val="22"/>
          <w:szCs w:val="22"/>
        </w:rPr>
        <w:t>the</w:t>
      </w:r>
      <w:proofErr w:type="gramEnd"/>
      <w:r w:rsidRPr="00304FD2">
        <w:rPr>
          <w:sz w:val="22"/>
          <w:szCs w:val="22"/>
        </w:rPr>
        <w:t xml:space="preserve"> Employability Award.</w:t>
      </w:r>
    </w:p>
    <w:p w14:paraId="273FE4F9" w14:textId="77777777" w:rsidR="005B4EA5" w:rsidRPr="00304FD2" w:rsidRDefault="005B4EA5" w:rsidP="005B4EA5">
      <w:pPr>
        <w:pStyle w:val="ListParagraph"/>
        <w:numPr>
          <w:ilvl w:val="0"/>
          <w:numId w:val="3"/>
        </w:numPr>
        <w:rPr>
          <w:sz w:val="22"/>
          <w:szCs w:val="22"/>
        </w:rPr>
      </w:pPr>
      <w:r w:rsidRPr="00304FD2">
        <w:rPr>
          <w:sz w:val="22"/>
          <w:szCs w:val="22"/>
        </w:rPr>
        <w:t>A greater range of opportunities for all forms of professional work experience (including the 45 week placements and shorter/more flexible opportunities) should be sourced. Key to this are:</w:t>
      </w:r>
    </w:p>
    <w:p w14:paraId="593FF2AE" w14:textId="77777777" w:rsidR="005B4EA5" w:rsidRPr="00304FD2" w:rsidRDefault="005B4EA5" w:rsidP="005B4EA5">
      <w:pPr>
        <w:pStyle w:val="ListParagraph"/>
        <w:numPr>
          <w:ilvl w:val="1"/>
          <w:numId w:val="3"/>
        </w:numPr>
        <w:rPr>
          <w:sz w:val="22"/>
          <w:szCs w:val="22"/>
        </w:rPr>
      </w:pPr>
      <w:r w:rsidRPr="00304FD2">
        <w:rPr>
          <w:sz w:val="22"/>
          <w:szCs w:val="22"/>
        </w:rPr>
        <w:t>Careers and Employability Centre for both sourcing new opportunities and encouraging others to seek new opportunities, which the CEC would collect and pass on to appropriate Schools;</w:t>
      </w:r>
    </w:p>
    <w:p w14:paraId="054DEF55" w14:textId="77777777" w:rsidR="005B4EA5" w:rsidRPr="00304FD2" w:rsidRDefault="005B4EA5" w:rsidP="005B4EA5">
      <w:pPr>
        <w:pStyle w:val="ListParagraph"/>
        <w:numPr>
          <w:ilvl w:val="1"/>
          <w:numId w:val="3"/>
        </w:numPr>
        <w:rPr>
          <w:sz w:val="22"/>
          <w:szCs w:val="22"/>
        </w:rPr>
      </w:pPr>
      <w:r w:rsidRPr="00304FD2">
        <w:rPr>
          <w:sz w:val="22"/>
          <w:szCs w:val="22"/>
        </w:rPr>
        <w:t>Enterprise Office for sourcing new opportunities.</w:t>
      </w:r>
    </w:p>
    <w:p w14:paraId="19E3357F" w14:textId="77777777" w:rsidR="005B4EA5" w:rsidRPr="00304FD2" w:rsidRDefault="005B4EA5" w:rsidP="005B4EA5">
      <w:pPr>
        <w:pStyle w:val="ListParagraph"/>
        <w:numPr>
          <w:ilvl w:val="0"/>
          <w:numId w:val="3"/>
        </w:numPr>
        <w:rPr>
          <w:sz w:val="22"/>
          <w:szCs w:val="22"/>
        </w:rPr>
      </w:pPr>
      <w:r>
        <w:rPr>
          <w:sz w:val="22"/>
          <w:szCs w:val="22"/>
        </w:rPr>
        <w:t>We shall need to e</w:t>
      </w:r>
      <w:r w:rsidRPr="00304FD2">
        <w:rPr>
          <w:sz w:val="22"/>
          <w:szCs w:val="22"/>
        </w:rPr>
        <w:t>nsure that there is clarity of roles between Schools and Support Services, noting the following:</w:t>
      </w:r>
    </w:p>
    <w:p w14:paraId="3C8803A8" w14:textId="77777777" w:rsidR="005B4EA5" w:rsidRPr="00304FD2" w:rsidRDefault="005B4EA5" w:rsidP="005B4EA5">
      <w:pPr>
        <w:pStyle w:val="ListParagraph"/>
        <w:numPr>
          <w:ilvl w:val="1"/>
          <w:numId w:val="3"/>
        </w:numPr>
        <w:rPr>
          <w:sz w:val="22"/>
          <w:szCs w:val="22"/>
        </w:rPr>
      </w:pPr>
      <w:r w:rsidRPr="00304FD2">
        <w:rPr>
          <w:sz w:val="22"/>
          <w:szCs w:val="22"/>
        </w:rPr>
        <w:t>that the main link between the University, the employer and the student for 45 week placements should remain with the School;</w:t>
      </w:r>
    </w:p>
    <w:p w14:paraId="4901188D" w14:textId="77777777" w:rsidR="005B4EA5" w:rsidRPr="00304FD2" w:rsidRDefault="005B4EA5" w:rsidP="005B4EA5">
      <w:pPr>
        <w:pStyle w:val="ListParagraph"/>
        <w:numPr>
          <w:ilvl w:val="1"/>
          <w:numId w:val="3"/>
        </w:numPr>
        <w:rPr>
          <w:sz w:val="22"/>
          <w:szCs w:val="22"/>
        </w:rPr>
      </w:pPr>
      <w:r w:rsidRPr="00304FD2">
        <w:rPr>
          <w:sz w:val="22"/>
          <w:szCs w:val="22"/>
        </w:rPr>
        <w:t>that there may be benefits of sharing support between Schools where there is less of a tradition of professional work experience or where the scale of activity is smaller than in other Schools (as happens now);</w:t>
      </w:r>
    </w:p>
    <w:p w14:paraId="4A17AEDE" w14:textId="77777777" w:rsidR="005B4EA5" w:rsidRPr="00304FD2" w:rsidRDefault="005B4EA5" w:rsidP="005B4EA5">
      <w:pPr>
        <w:pStyle w:val="ListParagraph"/>
        <w:numPr>
          <w:ilvl w:val="1"/>
          <w:numId w:val="3"/>
        </w:numPr>
        <w:rPr>
          <w:sz w:val="22"/>
          <w:szCs w:val="22"/>
        </w:rPr>
      </w:pPr>
      <w:proofErr w:type="gramStart"/>
      <w:r w:rsidRPr="00304FD2">
        <w:rPr>
          <w:sz w:val="22"/>
          <w:szCs w:val="22"/>
        </w:rPr>
        <w:t>that</w:t>
      </w:r>
      <w:proofErr w:type="gramEnd"/>
      <w:r w:rsidRPr="00304FD2">
        <w:rPr>
          <w:sz w:val="22"/>
          <w:szCs w:val="22"/>
        </w:rPr>
        <w:t xml:space="preserve"> there would be merit in having central support for new, more flexible opportunities which are not credit bearing and where academic input to the provision is not required.</w:t>
      </w:r>
    </w:p>
    <w:p w14:paraId="099C45BB" w14:textId="77777777" w:rsidR="005B4EA5" w:rsidRPr="00304FD2" w:rsidRDefault="005B4EA5" w:rsidP="005B4EA5">
      <w:pPr>
        <w:pStyle w:val="ListParagraph"/>
        <w:numPr>
          <w:ilvl w:val="0"/>
          <w:numId w:val="3"/>
        </w:numPr>
        <w:rPr>
          <w:sz w:val="22"/>
          <w:szCs w:val="22"/>
        </w:rPr>
      </w:pPr>
      <w:r w:rsidRPr="00304FD2">
        <w:rPr>
          <w:sz w:val="22"/>
          <w:szCs w:val="22"/>
        </w:rPr>
        <w:t>There should be sharing of good practice between Schools in the organisation and delivery of professional work experience for students, e.g. regarding:</w:t>
      </w:r>
    </w:p>
    <w:p w14:paraId="4B2BCA8F" w14:textId="77777777" w:rsidR="005B4EA5" w:rsidRPr="00304FD2" w:rsidRDefault="005B4EA5" w:rsidP="005B4EA5">
      <w:pPr>
        <w:pStyle w:val="ListParagraph"/>
        <w:numPr>
          <w:ilvl w:val="1"/>
          <w:numId w:val="3"/>
        </w:numPr>
        <w:rPr>
          <w:sz w:val="22"/>
          <w:szCs w:val="22"/>
        </w:rPr>
      </w:pPr>
      <w:r w:rsidRPr="00304FD2">
        <w:rPr>
          <w:sz w:val="22"/>
          <w:szCs w:val="22"/>
        </w:rPr>
        <w:lastRenderedPageBreak/>
        <w:t>the balance of roles taken on by academic and administrative staff;</w:t>
      </w:r>
    </w:p>
    <w:p w14:paraId="6A06AF8E" w14:textId="77777777" w:rsidR="005B4EA5" w:rsidRPr="00304FD2" w:rsidRDefault="005B4EA5" w:rsidP="005B4EA5">
      <w:pPr>
        <w:pStyle w:val="ListParagraph"/>
        <w:numPr>
          <w:ilvl w:val="1"/>
          <w:numId w:val="3"/>
        </w:numPr>
        <w:rPr>
          <w:sz w:val="22"/>
          <w:szCs w:val="22"/>
        </w:rPr>
      </w:pPr>
      <w:r w:rsidRPr="00304FD2">
        <w:rPr>
          <w:sz w:val="22"/>
          <w:szCs w:val="22"/>
        </w:rPr>
        <w:t>the ways in which academic staff are allocated to student visits to maximise the benefits gained for both the member of staff and the University;</w:t>
      </w:r>
    </w:p>
    <w:p w14:paraId="1D89D219" w14:textId="77777777" w:rsidR="005B4EA5" w:rsidRPr="00304FD2" w:rsidRDefault="005B4EA5" w:rsidP="005B4EA5">
      <w:pPr>
        <w:pStyle w:val="ListParagraph"/>
        <w:numPr>
          <w:ilvl w:val="1"/>
          <w:numId w:val="3"/>
        </w:numPr>
        <w:rPr>
          <w:sz w:val="22"/>
          <w:szCs w:val="22"/>
        </w:rPr>
      </w:pPr>
      <w:proofErr w:type="gramStart"/>
      <w:r w:rsidRPr="00304FD2">
        <w:rPr>
          <w:sz w:val="22"/>
          <w:szCs w:val="22"/>
        </w:rPr>
        <w:t>offering</w:t>
      </w:r>
      <w:proofErr w:type="gramEnd"/>
      <w:r w:rsidRPr="00304FD2">
        <w:rPr>
          <w:sz w:val="22"/>
          <w:szCs w:val="22"/>
        </w:rPr>
        <w:t xml:space="preserve"> professional work experience as part of a formal module.</w:t>
      </w:r>
    </w:p>
    <w:p w14:paraId="4B4DD80E" w14:textId="77777777" w:rsidR="005B4EA5" w:rsidRPr="00304FD2" w:rsidRDefault="005B4EA5" w:rsidP="005B4EA5">
      <w:pPr>
        <w:pStyle w:val="ListParagraph"/>
        <w:numPr>
          <w:ilvl w:val="0"/>
          <w:numId w:val="3"/>
        </w:numPr>
        <w:rPr>
          <w:sz w:val="22"/>
          <w:szCs w:val="22"/>
        </w:rPr>
      </w:pPr>
      <w:r w:rsidRPr="00304FD2">
        <w:rPr>
          <w:sz w:val="22"/>
          <w:szCs w:val="22"/>
        </w:rPr>
        <w:t>A database should be put in place for recording student engagement with professional work experience, which is linked to the current student information system.</w:t>
      </w:r>
    </w:p>
    <w:p w14:paraId="04667C2A" w14:textId="77777777" w:rsidR="005B4EA5" w:rsidRDefault="005B4EA5" w:rsidP="005B4EA5"/>
    <w:p w14:paraId="6AB5FA06" w14:textId="1FEB1D48" w:rsidR="005B4EA5" w:rsidRPr="00D16BA1" w:rsidRDefault="005B4EA5" w:rsidP="005B4EA5">
      <w:pPr>
        <w:pBdr>
          <w:bottom w:val="single" w:sz="12" w:space="31" w:color="auto"/>
        </w:pBdr>
        <w:ind w:right="-64"/>
        <w:rPr>
          <w:sz w:val="22"/>
          <w:szCs w:val="22"/>
        </w:rPr>
      </w:pPr>
      <w:r>
        <w:rPr>
          <w:sz w:val="22"/>
          <w:szCs w:val="22"/>
        </w:rPr>
        <w:t xml:space="preserve">Effective implementation of the actions above, notably 4 to </w:t>
      </w:r>
      <w:proofErr w:type="gramStart"/>
      <w:r>
        <w:rPr>
          <w:sz w:val="22"/>
          <w:szCs w:val="22"/>
        </w:rPr>
        <w:t>7,</w:t>
      </w:r>
      <w:proofErr w:type="gramEnd"/>
      <w:r>
        <w:rPr>
          <w:sz w:val="22"/>
          <w:szCs w:val="22"/>
        </w:rPr>
        <w:t xml:space="preserve"> has res</w:t>
      </w:r>
      <w:r w:rsidR="00E42D2A">
        <w:rPr>
          <w:sz w:val="22"/>
          <w:szCs w:val="22"/>
        </w:rPr>
        <w:t xml:space="preserve">ource implications.  If </w:t>
      </w:r>
      <w:r>
        <w:rPr>
          <w:sz w:val="22"/>
          <w:szCs w:val="22"/>
        </w:rPr>
        <w:t xml:space="preserve">Senate </w:t>
      </w:r>
      <w:r w:rsidR="00E42D2A">
        <w:rPr>
          <w:sz w:val="22"/>
          <w:szCs w:val="22"/>
        </w:rPr>
        <w:t>is</w:t>
      </w:r>
      <w:r>
        <w:rPr>
          <w:sz w:val="22"/>
          <w:szCs w:val="22"/>
        </w:rPr>
        <w:t xml:space="preserve"> minded to support the recommended actions, </w:t>
      </w:r>
      <w:r w:rsidR="00E42D2A">
        <w:rPr>
          <w:sz w:val="22"/>
          <w:szCs w:val="22"/>
        </w:rPr>
        <w:t xml:space="preserve">detailed </w:t>
      </w:r>
      <w:r>
        <w:rPr>
          <w:sz w:val="22"/>
          <w:szCs w:val="22"/>
        </w:rPr>
        <w:t xml:space="preserve">work can </w:t>
      </w:r>
      <w:r w:rsidR="00E42D2A">
        <w:rPr>
          <w:sz w:val="22"/>
          <w:szCs w:val="22"/>
        </w:rPr>
        <w:t>proceed</w:t>
      </w:r>
      <w:r>
        <w:rPr>
          <w:sz w:val="22"/>
          <w:szCs w:val="22"/>
        </w:rPr>
        <w:t xml:space="preserve"> into the additional resources required, including their type and location, and the timescale over which they would need to be in place.   A strategy for the promotion of these professional work opportunities can also be drawn up.</w:t>
      </w:r>
    </w:p>
    <w:p w14:paraId="62459CCE" w14:textId="27C06AB8" w:rsidR="005B4EA5" w:rsidRPr="00304FD2" w:rsidRDefault="00443FAE" w:rsidP="005B4EA5">
      <w:pPr>
        <w:pStyle w:val="BodyText"/>
        <w:rPr>
          <w:sz w:val="22"/>
          <w:szCs w:val="22"/>
        </w:rPr>
      </w:pPr>
      <w:r>
        <w:t xml:space="preserve">Author </w:t>
      </w:r>
      <w:proofErr w:type="spellStart"/>
      <w:proofErr w:type="gramStart"/>
      <w:r w:rsidR="005B4EA5">
        <w:t>A</w:t>
      </w:r>
      <w:r w:rsidR="00E42D2A">
        <w:t>M.Mumford</w:t>
      </w:r>
      <w:proofErr w:type="spellEnd"/>
      <w:r w:rsidR="00E42D2A">
        <w:t xml:space="preserve">  </w:t>
      </w:r>
      <w:proofErr w:type="spellStart"/>
      <w:r w:rsidR="00E42D2A">
        <w:t>M.Bell</w:t>
      </w:r>
      <w:proofErr w:type="spellEnd"/>
      <w:proofErr w:type="gramEnd"/>
      <w:r w:rsidR="00E42D2A">
        <w:br/>
        <w:t>Date – February</w:t>
      </w:r>
      <w:r w:rsidR="005B4EA5">
        <w:t xml:space="preserve"> 2012</w:t>
      </w:r>
      <w:r w:rsidR="005B4EA5">
        <w:br/>
        <w:t>Copyright (c) Loughborough University.  All rights reserved.</w:t>
      </w:r>
    </w:p>
    <w:p w14:paraId="239D88DE" w14:textId="77777777" w:rsidR="005B4EA5" w:rsidRDefault="005B4EA5" w:rsidP="005B4EA5">
      <w:pPr>
        <w:rPr>
          <w:sz w:val="22"/>
          <w:szCs w:val="22"/>
        </w:rPr>
      </w:pPr>
    </w:p>
    <w:p w14:paraId="6D98740D" w14:textId="77777777" w:rsidR="005B4EA5" w:rsidRDefault="005B4EA5" w:rsidP="005B4EA5"/>
    <w:p w14:paraId="0CA91AE6" w14:textId="77777777" w:rsidR="005B4EA5" w:rsidRDefault="005B4EA5" w:rsidP="005B4EA5"/>
    <w:p w14:paraId="4E79ACEA" w14:textId="77777777" w:rsidR="009B2B53" w:rsidRDefault="009B2B53"/>
    <w:sectPr w:rsidR="009B2B53" w:rsidSect="00E47F18">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D1C1" w14:textId="77777777" w:rsidR="00D05B72" w:rsidRDefault="00E42D2A">
      <w:r>
        <w:separator/>
      </w:r>
    </w:p>
  </w:endnote>
  <w:endnote w:type="continuationSeparator" w:id="0">
    <w:p w14:paraId="64C24593" w14:textId="77777777" w:rsidR="00D05B72" w:rsidRDefault="00E4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3EE7" w14:textId="77777777" w:rsidR="00E47F18" w:rsidRDefault="00E47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97205"/>
      <w:docPartObj>
        <w:docPartGallery w:val="Page Numbers (Bottom of Page)"/>
        <w:docPartUnique/>
      </w:docPartObj>
    </w:sdtPr>
    <w:sdtEndPr>
      <w:rPr>
        <w:noProof/>
      </w:rPr>
    </w:sdtEndPr>
    <w:sdtContent>
      <w:p w14:paraId="31878DBE" w14:textId="77777777" w:rsidR="00A61A52" w:rsidRDefault="00A61A52">
        <w:pPr>
          <w:pStyle w:val="Footer"/>
          <w:jc w:val="center"/>
        </w:pPr>
        <w:r>
          <w:fldChar w:fldCharType="begin"/>
        </w:r>
        <w:r>
          <w:instrText xml:space="preserve"> PAGE   \* MERGEFORMAT </w:instrText>
        </w:r>
        <w:r>
          <w:fldChar w:fldCharType="separate"/>
        </w:r>
        <w:r w:rsidR="00E47F18">
          <w:rPr>
            <w:noProof/>
          </w:rPr>
          <w:t>2</w:t>
        </w:r>
        <w:r>
          <w:rPr>
            <w:noProof/>
          </w:rPr>
          <w:fldChar w:fldCharType="end"/>
        </w:r>
      </w:p>
    </w:sdtContent>
  </w:sdt>
  <w:p w14:paraId="38558C2A" w14:textId="77777777" w:rsidR="00A61A52" w:rsidRDefault="00A61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1E54" w14:textId="77777777" w:rsidR="00E47F18" w:rsidRDefault="00E47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F7BE" w14:textId="77777777" w:rsidR="00D05B72" w:rsidRDefault="00E42D2A">
      <w:r>
        <w:separator/>
      </w:r>
    </w:p>
  </w:footnote>
  <w:footnote w:type="continuationSeparator" w:id="0">
    <w:p w14:paraId="0B639D94" w14:textId="77777777" w:rsidR="00D05B72" w:rsidRDefault="00E4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0A26" w14:textId="77777777" w:rsidR="00E47F18" w:rsidRDefault="00E47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6A4D" w14:textId="77777777" w:rsidR="00E47F18" w:rsidRDefault="00E47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E2E0" w14:textId="6AAD2064" w:rsidR="00E47F18" w:rsidRDefault="00E47F18" w:rsidP="00E47F18">
    <w:pPr>
      <w:pStyle w:val="Header"/>
      <w:jc w:val="right"/>
      <w:rPr>
        <w:sz w:val="22"/>
        <w:szCs w:val="22"/>
      </w:rPr>
    </w:pPr>
    <w:bookmarkStart w:id="0" w:name="_GoBack"/>
    <w:r>
      <w:rPr>
        <w:sz w:val="22"/>
        <w:szCs w:val="22"/>
      </w:rPr>
      <w:t>SEN12-P22</w:t>
    </w:r>
  </w:p>
  <w:p w14:paraId="07F55AE8" w14:textId="0EC07951" w:rsidR="00E47F18" w:rsidRPr="00E47F18" w:rsidRDefault="00E47F18" w:rsidP="00E47F18">
    <w:pPr>
      <w:pStyle w:val="Header"/>
      <w:jc w:val="right"/>
      <w:rPr>
        <w:sz w:val="22"/>
        <w:szCs w:val="22"/>
      </w:rPr>
    </w:pPr>
    <w:r>
      <w:rPr>
        <w:sz w:val="22"/>
        <w:szCs w:val="22"/>
      </w:rPr>
      <w:t>9 March 2012</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736C"/>
    <w:multiLevelType w:val="hybridMultilevel"/>
    <w:tmpl w:val="813E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539EC"/>
    <w:multiLevelType w:val="hybridMultilevel"/>
    <w:tmpl w:val="AF9EF2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B97F6A"/>
    <w:multiLevelType w:val="hybridMultilevel"/>
    <w:tmpl w:val="BC9A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A5"/>
    <w:rsid w:val="00202E8E"/>
    <w:rsid w:val="003B53E1"/>
    <w:rsid w:val="00443FAE"/>
    <w:rsid w:val="005030B1"/>
    <w:rsid w:val="005B4EA5"/>
    <w:rsid w:val="00763A49"/>
    <w:rsid w:val="009B2B53"/>
    <w:rsid w:val="009B7857"/>
    <w:rsid w:val="00A61A52"/>
    <w:rsid w:val="00B11E4A"/>
    <w:rsid w:val="00D05B72"/>
    <w:rsid w:val="00D82BC1"/>
    <w:rsid w:val="00E42D2A"/>
    <w:rsid w:val="00E4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14C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A5"/>
    <w:rPr>
      <w:rFonts w:ascii="Arial" w:hAnsi="Arial" w:cs="Times New Roman"/>
      <w:lang w:val="en-GB" w:bidi="en-US"/>
    </w:rPr>
  </w:style>
  <w:style w:type="paragraph" w:styleId="Heading2">
    <w:name w:val="heading 2"/>
    <w:basedOn w:val="Normal"/>
    <w:next w:val="Normal"/>
    <w:link w:val="Heading2Char"/>
    <w:uiPriority w:val="9"/>
    <w:unhideWhenUsed/>
    <w:qFormat/>
    <w:rsid w:val="005B4EA5"/>
    <w:pPr>
      <w:keepNext/>
      <w:spacing w:before="240" w:after="60"/>
      <w:outlineLvl w:val="1"/>
    </w:pPr>
    <w:rPr>
      <w:rFonts w:eastAsiaTheme="majorEastAsia" w:cstheme="minorBidi"/>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EA5"/>
    <w:rPr>
      <w:rFonts w:ascii="Arial" w:eastAsiaTheme="majorEastAsia" w:hAnsi="Arial"/>
      <w:b/>
      <w:bCs/>
      <w:i/>
      <w:iCs/>
      <w:sz w:val="28"/>
      <w:szCs w:val="28"/>
      <w:lang w:val="en-GB"/>
    </w:rPr>
  </w:style>
  <w:style w:type="paragraph" w:styleId="ListParagraph">
    <w:name w:val="List Paragraph"/>
    <w:basedOn w:val="Normal"/>
    <w:uiPriority w:val="34"/>
    <w:qFormat/>
    <w:rsid w:val="005B4EA5"/>
    <w:pPr>
      <w:ind w:left="720"/>
      <w:contextualSpacing/>
    </w:pPr>
  </w:style>
  <w:style w:type="paragraph" w:styleId="Header">
    <w:name w:val="header"/>
    <w:basedOn w:val="Normal"/>
    <w:link w:val="HeaderChar"/>
    <w:uiPriority w:val="99"/>
    <w:unhideWhenUsed/>
    <w:rsid w:val="005B4EA5"/>
    <w:pPr>
      <w:tabs>
        <w:tab w:val="center" w:pos="4513"/>
        <w:tab w:val="right" w:pos="9026"/>
      </w:tabs>
    </w:pPr>
  </w:style>
  <w:style w:type="character" w:customStyle="1" w:styleId="HeaderChar">
    <w:name w:val="Header Char"/>
    <w:basedOn w:val="DefaultParagraphFont"/>
    <w:link w:val="Header"/>
    <w:uiPriority w:val="99"/>
    <w:rsid w:val="005B4EA5"/>
    <w:rPr>
      <w:rFonts w:ascii="Arial" w:hAnsi="Arial" w:cs="Times New Roman"/>
      <w:lang w:val="en-GB" w:bidi="en-US"/>
    </w:rPr>
  </w:style>
  <w:style w:type="paragraph" w:styleId="Footer">
    <w:name w:val="footer"/>
    <w:basedOn w:val="Normal"/>
    <w:link w:val="FooterChar"/>
    <w:uiPriority w:val="99"/>
    <w:unhideWhenUsed/>
    <w:rsid w:val="005B4EA5"/>
    <w:pPr>
      <w:tabs>
        <w:tab w:val="center" w:pos="4513"/>
        <w:tab w:val="right" w:pos="9026"/>
      </w:tabs>
    </w:pPr>
  </w:style>
  <w:style w:type="character" w:customStyle="1" w:styleId="FooterChar">
    <w:name w:val="Footer Char"/>
    <w:basedOn w:val="DefaultParagraphFont"/>
    <w:link w:val="Footer"/>
    <w:uiPriority w:val="99"/>
    <w:rsid w:val="005B4EA5"/>
    <w:rPr>
      <w:rFonts w:ascii="Arial" w:hAnsi="Arial" w:cs="Times New Roman"/>
      <w:lang w:val="en-GB" w:bidi="en-US"/>
    </w:rPr>
  </w:style>
  <w:style w:type="paragraph" w:styleId="BodyText">
    <w:name w:val="Body Text"/>
    <w:basedOn w:val="Normal"/>
    <w:link w:val="BodyTextChar"/>
    <w:rsid w:val="005B4EA5"/>
    <w:pPr>
      <w:widowControl w:val="0"/>
      <w:tabs>
        <w:tab w:val="left" w:pos="720"/>
        <w:tab w:val="left" w:pos="5760"/>
        <w:tab w:val="left" w:pos="8910"/>
      </w:tabs>
      <w:spacing w:before="100" w:after="100"/>
    </w:pPr>
    <w:rPr>
      <w:rFonts w:eastAsia="Times New Roman" w:cs="Arial"/>
      <w:snapToGrid w:val="0"/>
      <w:sz w:val="18"/>
      <w:szCs w:val="20"/>
      <w:lang w:bidi="ar-SA"/>
    </w:rPr>
  </w:style>
  <w:style w:type="character" w:customStyle="1" w:styleId="BodyTextChar">
    <w:name w:val="Body Text Char"/>
    <w:basedOn w:val="DefaultParagraphFont"/>
    <w:link w:val="BodyText"/>
    <w:rsid w:val="005B4EA5"/>
    <w:rPr>
      <w:rFonts w:ascii="Arial" w:eastAsia="Times New Roman" w:hAnsi="Arial" w:cs="Arial"/>
      <w:snapToGrid w:val="0"/>
      <w:sz w:val="18"/>
      <w:szCs w:val="20"/>
      <w:lang w:val="en-GB"/>
    </w:rPr>
  </w:style>
  <w:style w:type="paragraph" w:styleId="BalloonText">
    <w:name w:val="Balloon Text"/>
    <w:basedOn w:val="Normal"/>
    <w:link w:val="BalloonTextChar"/>
    <w:uiPriority w:val="99"/>
    <w:semiHidden/>
    <w:unhideWhenUsed/>
    <w:rsid w:val="005B4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EA5"/>
    <w:rPr>
      <w:rFonts w:ascii="Lucida Grande" w:hAnsi="Lucida Grande" w:cs="Lucida Grande"/>
      <w:sz w:val="18"/>
      <w:szCs w:val="18"/>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A5"/>
    <w:rPr>
      <w:rFonts w:ascii="Arial" w:hAnsi="Arial" w:cs="Times New Roman"/>
      <w:lang w:val="en-GB" w:bidi="en-US"/>
    </w:rPr>
  </w:style>
  <w:style w:type="paragraph" w:styleId="Heading2">
    <w:name w:val="heading 2"/>
    <w:basedOn w:val="Normal"/>
    <w:next w:val="Normal"/>
    <w:link w:val="Heading2Char"/>
    <w:uiPriority w:val="9"/>
    <w:unhideWhenUsed/>
    <w:qFormat/>
    <w:rsid w:val="005B4EA5"/>
    <w:pPr>
      <w:keepNext/>
      <w:spacing w:before="240" w:after="60"/>
      <w:outlineLvl w:val="1"/>
    </w:pPr>
    <w:rPr>
      <w:rFonts w:eastAsiaTheme="majorEastAsia" w:cstheme="minorBidi"/>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EA5"/>
    <w:rPr>
      <w:rFonts w:ascii="Arial" w:eastAsiaTheme="majorEastAsia" w:hAnsi="Arial"/>
      <w:b/>
      <w:bCs/>
      <w:i/>
      <w:iCs/>
      <w:sz w:val="28"/>
      <w:szCs w:val="28"/>
      <w:lang w:val="en-GB"/>
    </w:rPr>
  </w:style>
  <w:style w:type="paragraph" w:styleId="ListParagraph">
    <w:name w:val="List Paragraph"/>
    <w:basedOn w:val="Normal"/>
    <w:uiPriority w:val="34"/>
    <w:qFormat/>
    <w:rsid w:val="005B4EA5"/>
    <w:pPr>
      <w:ind w:left="720"/>
      <w:contextualSpacing/>
    </w:pPr>
  </w:style>
  <w:style w:type="paragraph" w:styleId="Header">
    <w:name w:val="header"/>
    <w:basedOn w:val="Normal"/>
    <w:link w:val="HeaderChar"/>
    <w:uiPriority w:val="99"/>
    <w:unhideWhenUsed/>
    <w:rsid w:val="005B4EA5"/>
    <w:pPr>
      <w:tabs>
        <w:tab w:val="center" w:pos="4513"/>
        <w:tab w:val="right" w:pos="9026"/>
      </w:tabs>
    </w:pPr>
  </w:style>
  <w:style w:type="character" w:customStyle="1" w:styleId="HeaderChar">
    <w:name w:val="Header Char"/>
    <w:basedOn w:val="DefaultParagraphFont"/>
    <w:link w:val="Header"/>
    <w:uiPriority w:val="99"/>
    <w:rsid w:val="005B4EA5"/>
    <w:rPr>
      <w:rFonts w:ascii="Arial" w:hAnsi="Arial" w:cs="Times New Roman"/>
      <w:lang w:val="en-GB" w:bidi="en-US"/>
    </w:rPr>
  </w:style>
  <w:style w:type="paragraph" w:styleId="Footer">
    <w:name w:val="footer"/>
    <w:basedOn w:val="Normal"/>
    <w:link w:val="FooterChar"/>
    <w:uiPriority w:val="99"/>
    <w:unhideWhenUsed/>
    <w:rsid w:val="005B4EA5"/>
    <w:pPr>
      <w:tabs>
        <w:tab w:val="center" w:pos="4513"/>
        <w:tab w:val="right" w:pos="9026"/>
      </w:tabs>
    </w:pPr>
  </w:style>
  <w:style w:type="character" w:customStyle="1" w:styleId="FooterChar">
    <w:name w:val="Footer Char"/>
    <w:basedOn w:val="DefaultParagraphFont"/>
    <w:link w:val="Footer"/>
    <w:uiPriority w:val="99"/>
    <w:rsid w:val="005B4EA5"/>
    <w:rPr>
      <w:rFonts w:ascii="Arial" w:hAnsi="Arial" w:cs="Times New Roman"/>
      <w:lang w:val="en-GB" w:bidi="en-US"/>
    </w:rPr>
  </w:style>
  <w:style w:type="paragraph" w:styleId="BodyText">
    <w:name w:val="Body Text"/>
    <w:basedOn w:val="Normal"/>
    <w:link w:val="BodyTextChar"/>
    <w:rsid w:val="005B4EA5"/>
    <w:pPr>
      <w:widowControl w:val="0"/>
      <w:tabs>
        <w:tab w:val="left" w:pos="720"/>
        <w:tab w:val="left" w:pos="5760"/>
        <w:tab w:val="left" w:pos="8910"/>
      </w:tabs>
      <w:spacing w:before="100" w:after="100"/>
    </w:pPr>
    <w:rPr>
      <w:rFonts w:eastAsia="Times New Roman" w:cs="Arial"/>
      <w:snapToGrid w:val="0"/>
      <w:sz w:val="18"/>
      <w:szCs w:val="20"/>
      <w:lang w:bidi="ar-SA"/>
    </w:rPr>
  </w:style>
  <w:style w:type="character" w:customStyle="1" w:styleId="BodyTextChar">
    <w:name w:val="Body Text Char"/>
    <w:basedOn w:val="DefaultParagraphFont"/>
    <w:link w:val="BodyText"/>
    <w:rsid w:val="005B4EA5"/>
    <w:rPr>
      <w:rFonts w:ascii="Arial" w:eastAsia="Times New Roman" w:hAnsi="Arial" w:cs="Arial"/>
      <w:snapToGrid w:val="0"/>
      <w:sz w:val="18"/>
      <w:szCs w:val="20"/>
      <w:lang w:val="en-GB"/>
    </w:rPr>
  </w:style>
  <w:style w:type="paragraph" w:styleId="BalloonText">
    <w:name w:val="Balloon Text"/>
    <w:basedOn w:val="Normal"/>
    <w:link w:val="BalloonTextChar"/>
    <w:uiPriority w:val="99"/>
    <w:semiHidden/>
    <w:unhideWhenUsed/>
    <w:rsid w:val="005B4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EA5"/>
    <w:rPr>
      <w:rFonts w:ascii="Lucida Grande" w:hAnsi="Lucida Grande" w:cs="Lucida Grande"/>
      <w:sz w:val="18"/>
      <w:szCs w:val="18"/>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Bell</dc:creator>
  <cp:lastModifiedBy>Staff/Research Student</cp:lastModifiedBy>
  <cp:revision>7</cp:revision>
  <cp:lastPrinted>2012-02-29T14:20:00Z</cp:lastPrinted>
  <dcterms:created xsi:type="dcterms:W3CDTF">2012-02-29T15:25:00Z</dcterms:created>
  <dcterms:modified xsi:type="dcterms:W3CDTF">2012-02-29T15:56:00Z</dcterms:modified>
</cp:coreProperties>
</file>